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2639" w14:textId="760CB797" w:rsidR="00275F5E" w:rsidRDefault="00275F5E" w:rsidP="00275F5E">
      <w:pPr>
        <w:spacing w:after="0" w:line="276" w:lineRule="auto"/>
        <w:jc w:val="right"/>
        <w:rPr>
          <w:rFonts w:ascii="Times New Roman" w:hAnsi="Times New Roman"/>
          <w:iCs/>
          <w:sz w:val="24"/>
          <w:szCs w:val="24"/>
          <w:lang w:val="en-US"/>
        </w:rPr>
      </w:pPr>
      <w:bookmarkStart w:id="0" w:name="_GoBack"/>
      <w:bookmarkEnd w:id="0"/>
      <w:proofErr w:type="spellStart"/>
      <w:r w:rsidRPr="00275F5E">
        <w:rPr>
          <w:rFonts w:ascii="Times New Roman" w:hAnsi="Times New Roman"/>
          <w:iCs/>
          <w:sz w:val="24"/>
          <w:szCs w:val="24"/>
          <w:lang w:val="en-US"/>
        </w:rPr>
        <w:t>Pielikums</w:t>
      </w:r>
      <w:proofErr w:type="spellEnd"/>
      <w:r w:rsidRPr="00275F5E">
        <w:rPr>
          <w:rFonts w:ascii="Times New Roman" w:hAnsi="Times New Roman"/>
          <w:iCs/>
          <w:sz w:val="24"/>
          <w:szCs w:val="24"/>
          <w:lang w:val="en-US"/>
        </w:rPr>
        <w:t xml:space="preserve"> Nr. </w:t>
      </w:r>
      <w:r>
        <w:rPr>
          <w:rFonts w:ascii="Times New Roman" w:hAnsi="Times New Roman"/>
          <w:iCs/>
          <w:sz w:val="24"/>
          <w:szCs w:val="24"/>
          <w:lang w:val="en-US"/>
        </w:rPr>
        <w:t>3</w:t>
      </w:r>
    </w:p>
    <w:p w14:paraId="60EC1251" w14:textId="36D77F66" w:rsidR="00AB67C3" w:rsidRPr="00AB67C3" w:rsidRDefault="00AB67C3" w:rsidP="00275F5E">
      <w:pPr>
        <w:spacing w:after="0" w:line="276" w:lineRule="auto"/>
        <w:jc w:val="right"/>
        <w:rPr>
          <w:rFonts w:ascii="Times New Roman" w:hAnsi="Times New Roman"/>
          <w:iCs/>
          <w:sz w:val="24"/>
          <w:szCs w:val="24"/>
          <w:lang w:val="lv-LV"/>
        </w:rPr>
      </w:pPr>
      <w:r>
        <w:rPr>
          <w:rFonts w:ascii="Times New Roman" w:hAnsi="Times New Roman"/>
          <w:sz w:val="24"/>
          <w:szCs w:val="24"/>
          <w:lang w:val="lv-LV"/>
        </w:rPr>
        <w:t>“Konfidencialitātes</w:t>
      </w:r>
      <w:r w:rsidRPr="0014178C">
        <w:rPr>
          <w:rFonts w:ascii="Times New Roman" w:hAnsi="Times New Roman"/>
          <w:sz w:val="24"/>
          <w:szCs w:val="24"/>
        </w:rPr>
        <w:t xml:space="preserve"> līguma projekts</w:t>
      </w:r>
      <w:r>
        <w:rPr>
          <w:rFonts w:ascii="Times New Roman" w:hAnsi="Times New Roman"/>
          <w:sz w:val="24"/>
          <w:szCs w:val="24"/>
          <w:lang w:val="lv-LV"/>
        </w:rPr>
        <w:t>”</w:t>
      </w:r>
    </w:p>
    <w:p w14:paraId="48D2F097" w14:textId="77777777" w:rsidR="001F56C2" w:rsidRPr="00275F5E" w:rsidRDefault="001F56C2" w:rsidP="001F56C2">
      <w:pPr>
        <w:spacing w:after="0" w:line="240" w:lineRule="auto"/>
        <w:ind w:right="724" w:firstLine="567"/>
        <w:jc w:val="center"/>
        <w:rPr>
          <w:rFonts w:ascii="Times New Roman" w:hAnsi="Times New Roman"/>
          <w:i/>
          <w:sz w:val="24"/>
          <w:szCs w:val="24"/>
          <w:lang w:val="en-US"/>
        </w:rPr>
      </w:pPr>
    </w:p>
    <w:p w14:paraId="5F64B1E3" w14:textId="77777777" w:rsidR="001F56C2" w:rsidRDefault="001F56C2" w:rsidP="001F56C2">
      <w:pPr>
        <w:spacing w:after="0" w:line="240" w:lineRule="auto"/>
        <w:ind w:right="724" w:firstLine="567"/>
        <w:jc w:val="center"/>
        <w:rPr>
          <w:rFonts w:ascii="Times New Roman" w:hAnsi="Times New Roman"/>
          <w:i/>
          <w:sz w:val="24"/>
          <w:szCs w:val="24"/>
          <w:lang w:val="lv-LV"/>
        </w:rPr>
      </w:pPr>
    </w:p>
    <w:p w14:paraId="350933EC" w14:textId="77777777" w:rsidR="001F56C2" w:rsidRPr="0047055A" w:rsidRDefault="001F56C2" w:rsidP="001F56C2">
      <w:pPr>
        <w:spacing w:after="0" w:line="240" w:lineRule="auto"/>
        <w:ind w:right="724" w:firstLine="567"/>
        <w:jc w:val="center"/>
        <w:rPr>
          <w:rFonts w:ascii="Times New Roman" w:hAnsi="Times New Roman"/>
          <w:b/>
          <w:bCs/>
          <w:sz w:val="24"/>
          <w:szCs w:val="24"/>
          <w:lang w:val="lv-LV"/>
        </w:rPr>
      </w:pPr>
      <w:r w:rsidRPr="0047055A">
        <w:rPr>
          <w:rFonts w:ascii="Times New Roman" w:hAnsi="Times New Roman"/>
          <w:b/>
          <w:bCs/>
          <w:sz w:val="24"/>
          <w:szCs w:val="24"/>
          <w:lang w:val="lv-LV"/>
        </w:rPr>
        <w:t>Konfidencialitātes līgums</w:t>
      </w:r>
    </w:p>
    <w:p w14:paraId="3D19B223" w14:textId="77777777" w:rsidR="001F56C2" w:rsidRDefault="001F56C2" w:rsidP="001F56C2">
      <w:pPr>
        <w:spacing w:after="0" w:line="240" w:lineRule="auto"/>
        <w:ind w:right="724" w:firstLine="567"/>
        <w:jc w:val="center"/>
        <w:rPr>
          <w:rFonts w:ascii="Times New Roman" w:hAnsi="Times New Roman"/>
          <w:b/>
          <w:bCs/>
          <w:sz w:val="28"/>
          <w:szCs w:val="28"/>
          <w:lang w:val="lv-LV"/>
        </w:rPr>
      </w:pPr>
    </w:p>
    <w:p w14:paraId="1DD3B48B" w14:textId="77777777" w:rsidR="001F56C2" w:rsidRDefault="002C00CB" w:rsidP="001F56C2">
      <w:pPr>
        <w:spacing w:after="0" w:line="240" w:lineRule="auto"/>
        <w:ind w:right="724"/>
        <w:rPr>
          <w:rFonts w:ascii="Times New Roman" w:hAnsi="Times New Roman"/>
          <w:b/>
          <w:bCs/>
          <w:sz w:val="28"/>
          <w:szCs w:val="28"/>
          <w:lang w:val="lv-LV"/>
        </w:rPr>
      </w:pPr>
      <w:r>
        <w:rPr>
          <w:rFonts w:ascii="Times New Roman" w:hAnsi="Times New Roman"/>
          <w:sz w:val="24"/>
          <w:szCs w:val="24"/>
          <w:lang w:val="lv-LV"/>
        </w:rPr>
        <w:t>Rēzeknē</w:t>
      </w:r>
    </w:p>
    <w:p w14:paraId="5DC20B71" w14:textId="77777777"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r>
        <w:rPr>
          <w:rFonts w:ascii="Times New Roman" w:hAnsi="Times New Roman"/>
          <w:i/>
          <w:sz w:val="24"/>
          <w:szCs w:val="24"/>
          <w:lang w:val="lv-LV"/>
        </w:rPr>
        <w:t>Datums norādīts dokumenta paraksta laika zīmogā</w:t>
      </w:r>
      <w:r>
        <w:rPr>
          <w:rFonts w:ascii="Times New Roman" w:hAnsi="Times New Roman"/>
          <w:sz w:val="24"/>
          <w:szCs w:val="24"/>
          <w:lang w:val="lv-LV"/>
        </w:rPr>
        <w:tab/>
      </w:r>
    </w:p>
    <w:p w14:paraId="783DCACF" w14:textId="77777777"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14:paraId="759A6274" w14:textId="77777777" w:rsidR="001F56C2" w:rsidRDefault="001F56C2" w:rsidP="001F56C2">
      <w:pPr>
        <w:tabs>
          <w:tab w:val="left" w:pos="284"/>
          <w:tab w:val="center" w:pos="5102"/>
        </w:tabs>
        <w:suppressAutoHyphens/>
        <w:spacing w:after="0" w:line="240" w:lineRule="auto"/>
        <w:contextualSpacing/>
        <w:jc w:val="both"/>
        <w:rPr>
          <w:rFonts w:ascii="Times New Roman" w:hAnsi="Times New Roman"/>
          <w:sz w:val="24"/>
          <w:szCs w:val="24"/>
          <w:u w:val="single"/>
          <w:lang w:val="lv-LV"/>
        </w:rPr>
      </w:pPr>
    </w:p>
    <w:p w14:paraId="3EBFF4B3" w14:textId="77777777" w:rsidR="001F56C2" w:rsidRPr="0047055A" w:rsidRDefault="002C00CB" w:rsidP="001F56C2">
      <w:pPr>
        <w:tabs>
          <w:tab w:val="left" w:pos="284"/>
          <w:tab w:val="center" w:pos="5102"/>
        </w:tabs>
        <w:suppressAutoHyphens/>
        <w:spacing w:after="0" w:line="240" w:lineRule="auto"/>
        <w:ind w:firstLine="567"/>
        <w:contextualSpacing/>
        <w:jc w:val="both"/>
        <w:rPr>
          <w:rFonts w:ascii="Times New Roman" w:hAnsi="Times New Roman"/>
          <w:sz w:val="24"/>
          <w:szCs w:val="24"/>
          <w:u w:val="single"/>
          <w:lang w:val="lv-LV"/>
        </w:rPr>
      </w:pPr>
      <w:r>
        <w:rPr>
          <w:rFonts w:ascii="Times New Roman" w:hAnsi="Times New Roman"/>
          <w:b/>
          <w:bCs/>
          <w:sz w:val="24"/>
          <w:szCs w:val="24"/>
          <w:lang w:val="lv-LV"/>
        </w:rPr>
        <w:t>Rēzeknes Tehnoloģiju akadēmija</w:t>
      </w:r>
      <w:r w:rsidR="001F56C2">
        <w:rPr>
          <w:rFonts w:ascii="Times New Roman" w:hAnsi="Times New Roman"/>
          <w:sz w:val="24"/>
          <w:szCs w:val="24"/>
          <w:lang w:val="lv-LV"/>
        </w:rPr>
        <w:t xml:space="preserve">, reģistrācijas Nr. </w:t>
      </w:r>
      <w:r>
        <w:rPr>
          <w:rFonts w:ascii="Times New Roman" w:hAnsi="Times New Roman"/>
          <w:sz w:val="24"/>
          <w:szCs w:val="24"/>
          <w:lang w:val="lv-LV"/>
        </w:rPr>
        <w:t>90000011588</w:t>
      </w:r>
      <w:r w:rsidR="001F56C2">
        <w:rPr>
          <w:rFonts w:ascii="Times New Roman" w:hAnsi="Times New Roman"/>
          <w:sz w:val="24"/>
          <w:szCs w:val="24"/>
          <w:lang w:val="lv-LV"/>
        </w:rPr>
        <w:t xml:space="preserve">, </w:t>
      </w:r>
      <w:r w:rsidR="001F56C2">
        <w:rPr>
          <w:rFonts w:ascii="Times New Roman" w:hAnsi="Times New Roman"/>
          <w:color w:val="1B1B1B"/>
          <w:sz w:val="24"/>
          <w:szCs w:val="24"/>
          <w:shd w:val="clear" w:color="auto" w:fill="FFFFFF"/>
          <w:lang w:val="lv-LV"/>
        </w:rPr>
        <w:t xml:space="preserve">IZM Izglītības </w:t>
      </w:r>
      <w:r w:rsidR="001F56C2" w:rsidRPr="0047055A">
        <w:rPr>
          <w:rFonts w:ascii="Times New Roman" w:hAnsi="Times New Roman"/>
          <w:color w:val="1B1B1B"/>
          <w:sz w:val="24"/>
          <w:szCs w:val="24"/>
          <w:shd w:val="clear" w:color="auto" w:fill="FFFFFF"/>
          <w:lang w:val="lv-LV"/>
        </w:rPr>
        <w:t xml:space="preserve">iestāžu reģistra </w:t>
      </w:r>
      <w:r w:rsidR="001F56C2" w:rsidRPr="0047055A">
        <w:rPr>
          <w:rFonts w:ascii="Times New Roman" w:hAnsi="Times New Roman"/>
          <w:sz w:val="24"/>
          <w:szCs w:val="24"/>
          <w:lang w:val="lv-LV"/>
        </w:rPr>
        <w:t xml:space="preserve">reģistrācijas Nr. </w:t>
      </w:r>
      <w:r w:rsidR="0047055A" w:rsidRPr="0047055A">
        <w:rPr>
          <w:rFonts w:ascii="Times New Roman" w:hAnsi="Times New Roman"/>
          <w:color w:val="212529"/>
          <w:sz w:val="24"/>
          <w:szCs w:val="24"/>
          <w:shd w:val="clear" w:color="auto" w:fill="FFFFFF"/>
          <w:lang w:val="lv-LV"/>
        </w:rPr>
        <w:t>3194001444</w:t>
      </w:r>
      <w:r w:rsidR="001F56C2" w:rsidRPr="0047055A">
        <w:rPr>
          <w:rFonts w:ascii="Times New Roman" w:hAnsi="Times New Roman"/>
          <w:sz w:val="24"/>
          <w:szCs w:val="24"/>
          <w:lang w:val="lv-LV"/>
        </w:rPr>
        <w:t xml:space="preserve">, juridiskā adrese: </w:t>
      </w:r>
      <w:r w:rsidRPr="0047055A">
        <w:rPr>
          <w:rFonts w:ascii="Times New Roman" w:hAnsi="Times New Roman"/>
          <w:sz w:val="24"/>
          <w:szCs w:val="24"/>
          <w:lang w:val="lv-LV"/>
        </w:rPr>
        <w:t>Atbrīvošanas aleja 115, Rēzekne, LV-4601</w:t>
      </w:r>
      <w:r w:rsidR="001F56C2" w:rsidRPr="0047055A">
        <w:rPr>
          <w:rFonts w:ascii="Times New Roman" w:hAnsi="Times New Roman"/>
          <w:sz w:val="24"/>
          <w:szCs w:val="24"/>
          <w:lang w:val="lv-LV"/>
        </w:rPr>
        <w:t xml:space="preserve"> (turpmāk – Informācijas sniedzējs), tās rektor</w:t>
      </w:r>
      <w:r w:rsidR="0047055A" w:rsidRPr="0047055A">
        <w:rPr>
          <w:rFonts w:ascii="Times New Roman" w:hAnsi="Times New Roman"/>
          <w:sz w:val="24"/>
          <w:szCs w:val="24"/>
          <w:lang w:val="lv-LV"/>
        </w:rPr>
        <w:t xml:space="preserve">es Ivetas </w:t>
      </w:r>
      <w:proofErr w:type="spellStart"/>
      <w:r w:rsidR="0047055A" w:rsidRPr="0047055A">
        <w:rPr>
          <w:rFonts w:ascii="Times New Roman" w:hAnsi="Times New Roman"/>
          <w:sz w:val="24"/>
          <w:szCs w:val="24"/>
          <w:lang w:val="lv-LV"/>
        </w:rPr>
        <w:t>Mietules</w:t>
      </w:r>
      <w:proofErr w:type="spellEnd"/>
      <w:r w:rsidR="0047055A" w:rsidRPr="0047055A">
        <w:rPr>
          <w:rFonts w:ascii="Times New Roman" w:hAnsi="Times New Roman"/>
          <w:sz w:val="24"/>
          <w:szCs w:val="24"/>
          <w:lang w:val="lv-LV"/>
        </w:rPr>
        <w:t xml:space="preserve"> </w:t>
      </w:r>
      <w:r w:rsidR="001F56C2" w:rsidRPr="0047055A">
        <w:rPr>
          <w:rFonts w:ascii="Times New Roman" w:hAnsi="Times New Roman"/>
          <w:sz w:val="24"/>
          <w:szCs w:val="24"/>
          <w:lang w:val="lv-LV"/>
        </w:rPr>
        <w:t>personā, kur</w:t>
      </w:r>
      <w:r w:rsidR="0047055A" w:rsidRPr="0047055A">
        <w:rPr>
          <w:rFonts w:ascii="Times New Roman" w:hAnsi="Times New Roman"/>
          <w:sz w:val="24"/>
          <w:szCs w:val="24"/>
          <w:lang w:val="lv-LV"/>
        </w:rPr>
        <w:t>a</w:t>
      </w:r>
      <w:r w:rsidR="001F56C2" w:rsidRPr="0047055A">
        <w:rPr>
          <w:rFonts w:ascii="Times New Roman" w:hAnsi="Times New Roman"/>
          <w:sz w:val="24"/>
          <w:szCs w:val="24"/>
          <w:lang w:val="lv-LV"/>
        </w:rPr>
        <w:t xml:space="preserve"> rīkojas saskaņā ar</w:t>
      </w:r>
      <w:r w:rsidR="0047055A" w:rsidRPr="0047055A">
        <w:rPr>
          <w:rFonts w:ascii="Times New Roman" w:hAnsi="Times New Roman"/>
          <w:sz w:val="24"/>
          <w:szCs w:val="24"/>
          <w:lang w:val="lv-LV"/>
        </w:rPr>
        <w:t xml:space="preserve"> </w:t>
      </w:r>
      <w:r w:rsidR="0047055A" w:rsidRPr="0047055A">
        <w:rPr>
          <w:rFonts w:ascii="Times New Roman" w:hAnsi="Times New Roman"/>
          <w:bCs/>
          <w:sz w:val="24"/>
          <w:szCs w:val="24"/>
          <w:lang w:val="lv-LV"/>
        </w:rPr>
        <w:t xml:space="preserve">26.02.2019 Ministru kabineta rīkojumu Nr.98 “Par Ivetu </w:t>
      </w:r>
      <w:proofErr w:type="spellStart"/>
      <w:r w:rsidR="0047055A" w:rsidRPr="0047055A">
        <w:rPr>
          <w:rFonts w:ascii="Times New Roman" w:hAnsi="Times New Roman"/>
          <w:bCs/>
          <w:sz w:val="24"/>
          <w:szCs w:val="24"/>
          <w:lang w:val="lv-LV"/>
        </w:rPr>
        <w:t>Mietuli</w:t>
      </w:r>
      <w:proofErr w:type="spellEnd"/>
      <w:r w:rsidR="0047055A" w:rsidRPr="0047055A">
        <w:rPr>
          <w:rFonts w:ascii="Times New Roman" w:hAnsi="Times New Roman"/>
          <w:bCs/>
          <w:sz w:val="24"/>
          <w:szCs w:val="24"/>
          <w:lang w:val="lv-LV"/>
        </w:rPr>
        <w:t>”</w:t>
      </w:r>
      <w:r w:rsidR="001F56C2" w:rsidRPr="0047055A">
        <w:rPr>
          <w:rFonts w:ascii="Times New Roman" w:hAnsi="Times New Roman"/>
          <w:sz w:val="24"/>
          <w:szCs w:val="24"/>
          <w:lang w:val="lv-LV"/>
        </w:rPr>
        <w:t xml:space="preserve">, no vienas puses, un </w:t>
      </w:r>
    </w:p>
    <w:p w14:paraId="651B5AE8" w14:textId="77777777" w:rsidR="001F56C2" w:rsidRPr="0047055A" w:rsidRDefault="001F56C2" w:rsidP="001F56C2">
      <w:pPr>
        <w:spacing w:after="0" w:line="240" w:lineRule="auto"/>
        <w:ind w:right="43" w:firstLine="567"/>
        <w:jc w:val="both"/>
        <w:rPr>
          <w:rFonts w:ascii="Times New Roman" w:hAnsi="Times New Roman"/>
          <w:sz w:val="24"/>
          <w:szCs w:val="24"/>
          <w:lang w:val="lv-LV"/>
        </w:rPr>
      </w:pPr>
      <w:r w:rsidRPr="0047055A">
        <w:rPr>
          <w:rFonts w:ascii="Times New Roman" w:hAnsi="Times New Roman"/>
          <w:b/>
          <w:sz w:val="24"/>
          <w:szCs w:val="24"/>
          <w:lang w:val="lv-LV"/>
        </w:rPr>
        <w:t>Fiziskas vai juridiskas personas rekvizīti</w:t>
      </w:r>
      <w:r w:rsidRPr="0047055A">
        <w:rPr>
          <w:rFonts w:ascii="Times New Roman" w:hAnsi="Times New Roman"/>
          <w:sz w:val="24"/>
          <w:szCs w:val="24"/>
          <w:lang w:val="lv-LV"/>
        </w:rPr>
        <w:t xml:space="preserve">, personas kods/reģistrācijas numurs ______, deklarētās dzīvesvietas vai juridiskā adrese: __________, tās ____________ personā, kurš/-a rīkojas uz __________ pamata (turpmāk – Informācijas saņēmējs), no otras puses, turpmāk kopā vai atsevišķi – Puse/Puses, noslēdz šādu līgumu (turpmāk – Līgums):      </w:t>
      </w:r>
    </w:p>
    <w:p w14:paraId="657B54FD" w14:textId="77777777" w:rsidR="001F56C2" w:rsidRPr="0047055A" w:rsidRDefault="001F56C2" w:rsidP="001F56C2">
      <w:pPr>
        <w:tabs>
          <w:tab w:val="left" w:pos="567"/>
        </w:tabs>
        <w:spacing w:after="0" w:line="240" w:lineRule="auto"/>
        <w:ind w:right="100" w:firstLine="567"/>
        <w:jc w:val="both"/>
        <w:rPr>
          <w:rFonts w:ascii="Times New Roman" w:hAnsi="Times New Roman"/>
          <w:sz w:val="24"/>
          <w:szCs w:val="24"/>
          <w:lang w:val="lv-LV"/>
        </w:rPr>
      </w:pPr>
    </w:p>
    <w:p w14:paraId="47785E87" w14:textId="77777777" w:rsidR="001F56C2" w:rsidRPr="0047055A" w:rsidRDefault="001F56C2" w:rsidP="001F56C2">
      <w:pPr>
        <w:tabs>
          <w:tab w:val="left" w:pos="567"/>
        </w:tabs>
        <w:spacing w:after="0" w:line="240" w:lineRule="auto"/>
        <w:ind w:right="100" w:firstLine="567"/>
        <w:jc w:val="both"/>
        <w:rPr>
          <w:rFonts w:ascii="Times New Roman" w:hAnsi="Times New Roman"/>
          <w:sz w:val="24"/>
          <w:szCs w:val="24"/>
          <w:lang w:val="lv-LV"/>
        </w:rPr>
      </w:pPr>
      <w:r w:rsidRPr="0047055A">
        <w:rPr>
          <w:rFonts w:ascii="Times New Roman" w:hAnsi="Times New Roman"/>
          <w:bCs/>
          <w:sz w:val="24"/>
          <w:szCs w:val="24"/>
          <w:lang w:val="lv-LV"/>
        </w:rPr>
        <w:t xml:space="preserve">1. </w:t>
      </w:r>
      <w:r w:rsidRPr="0047055A">
        <w:rPr>
          <w:rFonts w:ascii="Times New Roman" w:hAnsi="Times New Roman"/>
          <w:sz w:val="24"/>
          <w:szCs w:val="24"/>
          <w:lang w:val="lv-LV"/>
        </w:rPr>
        <w:t>Līgums noslēgts Informācijas sniedzēja īstenotās intelektuālā īpašuma izsoles “</w:t>
      </w:r>
      <w:proofErr w:type="spellStart"/>
      <w:r w:rsidR="0047055A" w:rsidRPr="0047055A">
        <w:rPr>
          <w:rFonts w:ascii="Times New Roman" w:hAnsi="Times New Roman"/>
          <w:sz w:val="24"/>
          <w:szCs w:val="24"/>
          <w:lang w:val="lv-LV"/>
        </w:rPr>
        <w:t>Bezpakāpju</w:t>
      </w:r>
      <w:proofErr w:type="spellEnd"/>
      <w:r w:rsidR="0047055A" w:rsidRPr="0047055A">
        <w:rPr>
          <w:rFonts w:ascii="Times New Roman" w:hAnsi="Times New Roman"/>
          <w:sz w:val="24"/>
          <w:szCs w:val="24"/>
          <w:lang w:val="lv-LV"/>
        </w:rPr>
        <w:t xml:space="preserve"> siksnas pārvads”</w:t>
      </w:r>
      <w:r w:rsidRPr="0047055A">
        <w:rPr>
          <w:rFonts w:ascii="Times New Roman" w:hAnsi="Times New Roman"/>
          <w:sz w:val="24"/>
          <w:szCs w:val="24"/>
          <w:lang w:val="lv-LV"/>
        </w:rPr>
        <w:t xml:space="preserve"> (turpmāk – Izsole) ietvaros.</w:t>
      </w:r>
    </w:p>
    <w:p w14:paraId="6FCF3B1B" w14:textId="77777777" w:rsidR="001F56C2" w:rsidRPr="0047055A" w:rsidRDefault="001F56C2" w:rsidP="001F56C2">
      <w:pPr>
        <w:tabs>
          <w:tab w:val="left" w:pos="567"/>
        </w:tabs>
        <w:spacing w:after="0" w:line="240" w:lineRule="auto"/>
        <w:ind w:right="100" w:firstLine="567"/>
        <w:jc w:val="both"/>
        <w:rPr>
          <w:rFonts w:ascii="Times New Roman" w:hAnsi="Times New Roman"/>
          <w:sz w:val="24"/>
          <w:szCs w:val="24"/>
          <w:lang w:val="lv-LV"/>
        </w:rPr>
      </w:pPr>
      <w:r w:rsidRPr="0047055A">
        <w:rPr>
          <w:rFonts w:ascii="Times New Roman" w:hAnsi="Times New Roman"/>
          <w:sz w:val="24"/>
          <w:szCs w:val="24"/>
          <w:lang w:val="lv-LV"/>
        </w:rPr>
        <w:t>2. Līguma izpratnē konfidenciāla informācija ir jebkura un jebkāda Informācijas sniedzējam piederoša vai tā lietošanā vai rīcībā esoša informācija saistībā ar zinātību</w:t>
      </w:r>
      <w:r w:rsidR="0047055A">
        <w:rPr>
          <w:rFonts w:ascii="Times New Roman" w:hAnsi="Times New Roman"/>
          <w:sz w:val="24"/>
          <w:szCs w:val="24"/>
          <w:lang w:val="lv-LV"/>
        </w:rPr>
        <w:t xml:space="preserve"> </w:t>
      </w:r>
      <w:r w:rsidR="0047055A" w:rsidRPr="0047055A">
        <w:rPr>
          <w:rFonts w:ascii="Times New Roman" w:hAnsi="Times New Roman"/>
          <w:sz w:val="24"/>
          <w:szCs w:val="24"/>
          <w:lang w:val="lv-LV"/>
        </w:rPr>
        <w:t>“</w:t>
      </w:r>
      <w:proofErr w:type="spellStart"/>
      <w:r w:rsidR="0047055A" w:rsidRPr="0047055A">
        <w:rPr>
          <w:rFonts w:ascii="Times New Roman" w:hAnsi="Times New Roman"/>
          <w:sz w:val="24"/>
          <w:szCs w:val="24"/>
          <w:lang w:val="lv-LV"/>
        </w:rPr>
        <w:t>Bezpakāpju</w:t>
      </w:r>
      <w:proofErr w:type="spellEnd"/>
      <w:r w:rsidR="0047055A" w:rsidRPr="0047055A">
        <w:rPr>
          <w:rFonts w:ascii="Times New Roman" w:hAnsi="Times New Roman"/>
          <w:sz w:val="24"/>
          <w:szCs w:val="24"/>
          <w:lang w:val="lv-LV"/>
        </w:rPr>
        <w:t xml:space="preserve"> siksnas pārvads”</w:t>
      </w:r>
      <w:r w:rsidRPr="0047055A">
        <w:rPr>
          <w:rFonts w:ascii="Times New Roman" w:hAnsi="Times New Roman"/>
          <w:sz w:val="24"/>
          <w:szCs w:val="24"/>
          <w:lang w:val="lv-LV"/>
        </w:rPr>
        <w:t>, kas nonāk Informācijas saņēmēja rīcībā saistībā ar Izsoli, t.sk. izstrādes apraksts, tehniskā dokumentācija, shēmas, rasējumi, programmas kodi</w:t>
      </w:r>
      <w:r w:rsidR="0047055A">
        <w:rPr>
          <w:rFonts w:ascii="Times New Roman" w:hAnsi="Times New Roman"/>
          <w:sz w:val="24"/>
          <w:szCs w:val="24"/>
          <w:lang w:val="lv-LV"/>
        </w:rPr>
        <w:t xml:space="preserve"> </w:t>
      </w:r>
      <w:r w:rsidRPr="0047055A">
        <w:rPr>
          <w:rFonts w:ascii="Times New Roman" w:hAnsi="Times New Roman"/>
          <w:color w:val="000000"/>
          <w:sz w:val="24"/>
          <w:szCs w:val="24"/>
          <w:lang w:val="lv-LV"/>
        </w:rPr>
        <w:t>un</w:t>
      </w:r>
      <w:r w:rsidRPr="0047055A">
        <w:rPr>
          <w:rFonts w:ascii="Times New Roman" w:hAnsi="Times New Roman"/>
          <w:sz w:val="24"/>
          <w:szCs w:val="24"/>
          <w:lang w:val="lv-LV"/>
        </w:rPr>
        <w:t xml:space="preserve"> </w:t>
      </w:r>
      <w:r w:rsidR="0047055A">
        <w:rPr>
          <w:rFonts w:ascii="Times New Roman" w:hAnsi="Times New Roman"/>
          <w:sz w:val="24"/>
          <w:szCs w:val="24"/>
          <w:lang w:val="lv-LV"/>
        </w:rPr>
        <w:t xml:space="preserve">cita </w:t>
      </w:r>
      <w:r w:rsidRPr="0047055A">
        <w:rPr>
          <w:rFonts w:ascii="Times New Roman" w:hAnsi="Times New Roman"/>
          <w:sz w:val="24"/>
          <w:szCs w:val="24"/>
          <w:lang w:val="lv-LV"/>
        </w:rPr>
        <w:t xml:space="preserve">pamatojošā dokumentācija. </w:t>
      </w:r>
    </w:p>
    <w:p w14:paraId="7C1B6162"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3. Šaubu gadījumā par konkrētu informācijas elementu, daļu vai fragmentu atbilstību Konfidenciālas informācijas vai vispārpieejamas informācijas statusam Informācijas saņēmējs interpretē konkrēto informāciju kā konfidenciālu informāciju un nepieciešamības gadījumā precizē tās statusu pie Informācijas sniedzēja.</w:t>
      </w:r>
    </w:p>
    <w:p w14:paraId="4173E011"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4. Konfidenciāla informācija var tikt sniegta Informācijas saņēmējam </w:t>
      </w:r>
      <w:proofErr w:type="spellStart"/>
      <w:r>
        <w:rPr>
          <w:rFonts w:ascii="Times New Roman" w:hAnsi="Times New Roman"/>
          <w:sz w:val="24"/>
          <w:szCs w:val="24"/>
          <w:lang w:val="lv-LV"/>
        </w:rPr>
        <w:t>rakstveidā</w:t>
      </w:r>
      <w:proofErr w:type="spellEnd"/>
      <w:r>
        <w:rPr>
          <w:rFonts w:ascii="Times New Roman" w:hAnsi="Times New Roman"/>
          <w:sz w:val="24"/>
          <w:szCs w:val="24"/>
          <w:lang w:val="lv-LV"/>
        </w:rPr>
        <w:t xml:space="preserve"> vai elektroniski, pausta mutiski, kā arī citos veidos. </w:t>
      </w:r>
    </w:p>
    <w:p w14:paraId="1567C292"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5. Informācijas saņēmējs nodrošina un atbild, ka:</w:t>
      </w:r>
    </w:p>
    <w:p w14:paraId="48A01F13"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5.1. konfidenciālā informācija nonāk tikai pie tām ar Informācijas saņēmēju tieši saistītām fiziskajām personām (darbinieki u.tml.) vai juridiskām personām, kuras ir saistītas ar Informācijas saņēmēja dalības Izsolē </w:t>
      </w:r>
      <w:proofErr w:type="spellStart"/>
      <w:r>
        <w:rPr>
          <w:rFonts w:ascii="Times New Roman" w:hAnsi="Times New Roman"/>
          <w:sz w:val="24"/>
          <w:szCs w:val="24"/>
          <w:lang w:val="lv-LV"/>
        </w:rPr>
        <w:t>izvērtējumu</w:t>
      </w:r>
      <w:proofErr w:type="spellEnd"/>
      <w:r>
        <w:rPr>
          <w:rFonts w:ascii="Times New Roman" w:hAnsi="Times New Roman"/>
          <w:sz w:val="24"/>
          <w:szCs w:val="24"/>
          <w:lang w:val="lv-LV"/>
        </w:rPr>
        <w:t xml:space="preserve"> un iespējamo piedāvājuma sagatavošanu, un tikai šiem mērķiem nepieciešamajā apjomā;</w:t>
      </w:r>
    </w:p>
    <w:p w14:paraId="41D4F30B"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5.2. subjekti, kuriem ir tiesības uz konfidenciālo informāciju atbilstoši Līguma 5.1. apakšpunktam, nenodod konfidenciālo informāciju, t.sk. tās daļas, elementus vai fragmentus, citām fiziskām vai juridiskām personām vai citiem subjektiem.</w:t>
      </w:r>
    </w:p>
    <w:p w14:paraId="217CD05A"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6. Līguma 5. punktā noteiktie rīcības ierobežojumi var tikt paplašināti, Pusēm rīcību iepriekš saskaņojot, ja konfidenciālo informāciju pieprasa kompetentās valsts institūcijas, rīkojoties ārējo normatīvo aktu tām noteikto likumīgo funkciju ietvaros.</w:t>
      </w:r>
    </w:p>
    <w:p w14:paraId="4C51E0FD"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7. 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w:t>
      </w:r>
    </w:p>
    <w:p w14:paraId="7C313102"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8. Informācijas sniedzējs pilnībā saglabā visas savas tiesības uz konfidenciālo informāciju, t.sk. īpašumtiesības, autortiesības un jebkuras citas līdzvērtīgas tiesības, tādējādi </w:t>
      </w:r>
      <w:r>
        <w:rPr>
          <w:rFonts w:ascii="Times New Roman" w:hAnsi="Times New Roman"/>
          <w:sz w:val="24"/>
          <w:szCs w:val="24"/>
          <w:lang w:val="lv-LV"/>
        </w:rPr>
        <w:lastRenderedPageBreak/>
        <w:t xml:space="preserve">Informācijas saņēmējs neiegūst nekādas Līgumā neminētas tiesības uz konfidenciālo informāciju. </w:t>
      </w:r>
    </w:p>
    <w:p w14:paraId="06321789"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9. Informācijas saņēmējs apņemas glabāt un aizsargāt konfidenciālu informāciju un ievērot saprātīgus informācijas uzglabāšanas priekšnoteikumus.</w:t>
      </w:r>
    </w:p>
    <w:p w14:paraId="4ABD9559"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10. Jebkurus publiskus paziņojumus par Līgumu, tā noslēgšanas faktu un saturu, kā arī to, ko ietver sevī konfidenciāla informācija, Puses sniedz vienīgi pēc iepriekšējas rakstiskas saskaņošanas ar otru Pusi.</w:t>
      </w:r>
    </w:p>
    <w:p w14:paraId="6617421C"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11. Informācijas saņēmējs piekrīt atlīdzināt Informācijas sniedzējam visus zaudējumus, izdevumus, izmaksas, kas tam radušās, Informācijas saņēmējam neievērojot Līguma noteikumus.</w:t>
      </w:r>
    </w:p>
    <w:p w14:paraId="255010A7"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12. Izsolei beidzoties, Informācijas saņēmējs 10</w:t>
      </w:r>
      <w:r>
        <w:rPr>
          <w:rFonts w:ascii="Times New Roman" w:hAnsi="Times New Roman"/>
          <w:i/>
          <w:sz w:val="24"/>
          <w:szCs w:val="24"/>
          <w:lang w:val="lv-LV"/>
        </w:rPr>
        <w:t xml:space="preserve"> </w:t>
      </w:r>
      <w:r>
        <w:rPr>
          <w:rFonts w:ascii="Times New Roman" w:hAnsi="Times New Roman"/>
          <w:sz w:val="24"/>
          <w:szCs w:val="24"/>
          <w:lang w:val="lv-LV"/>
        </w:rPr>
        <w:t>(</w:t>
      </w:r>
      <w:r>
        <w:rPr>
          <w:rFonts w:ascii="Times New Roman" w:hAnsi="Times New Roman"/>
          <w:iCs/>
          <w:sz w:val="24"/>
          <w:szCs w:val="24"/>
          <w:lang w:val="lv-LV"/>
        </w:rPr>
        <w:t>desmit</w:t>
      </w:r>
      <w:r>
        <w:rPr>
          <w:rFonts w:ascii="Times New Roman" w:hAnsi="Times New Roman"/>
          <w:sz w:val="24"/>
          <w:szCs w:val="24"/>
          <w:lang w:val="lv-LV"/>
        </w:rPr>
        <w:t>) dienu laikā visu saņemto konfidenciālo informāciju iznīcina, izdzēšot elektroniskā vai drukātā veidā glabātos informācijas dublikātus vai kopijas un citus informācijas nesējus. Minētais neattiecas uz Izsoles uzvarētāju, ja tas noslēdz intelektuālā īpašuma nodošanas vai licences līgumu. Izsoles uzvarētājam rīcības ar konfidenciālo informāciju aspekti regulējami saskaņā ar noslēgto intelektuālā īpašuma nodošanas vai licences līgumu.</w:t>
      </w:r>
    </w:p>
    <w:p w14:paraId="0B9BA067"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 xml:space="preserve">13. Puses apliecina, ka tām ir visas nepieciešamās tiesības, saskaņojumi un atļaujas noslēgt Līgumu un uzņemties tajā noteiktās saistības. </w:t>
      </w:r>
    </w:p>
    <w:p w14:paraId="6C6538B3"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14. 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w:t>
      </w:r>
    </w:p>
    <w:p w14:paraId="023D2E75"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15. Jebkurš strīds, nesaskaņas vai prasības, kas izriet no Līguma, skar Līguma pārkāpšanu, izbeigšanu, likumību, spēkā esamību vai iztulkošanu, tiks izšķirts Latvijas Republikas tiesā saskaņā ar Latvijas Republikas normatīvajiem aktiem.</w:t>
      </w:r>
    </w:p>
    <w:p w14:paraId="002BE2B3"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16. Līgums sagatavots latviešu valodā uz 2 (divām) lapām. Puses Līgumu paraksta ar drošu elektronisko parakstu, kas satur laika zīmogu. Līguma parakstīšanas datums ir pēdējā pievienotā droša elektroniskā paraksta un tā laika zīmoga datums. Katrai no Pusēm ir pieejams abpusēji parakstīts Līgums elektroniskā formātā.</w:t>
      </w:r>
    </w:p>
    <w:p w14:paraId="2EA4963E" w14:textId="77777777" w:rsidR="001F56C2" w:rsidRDefault="001F56C2" w:rsidP="001F56C2">
      <w:pPr>
        <w:tabs>
          <w:tab w:val="left" w:pos="567"/>
        </w:tabs>
        <w:spacing w:after="0" w:line="240" w:lineRule="auto"/>
        <w:ind w:right="100" w:firstLine="567"/>
        <w:jc w:val="both"/>
        <w:rPr>
          <w:rFonts w:ascii="Times New Roman" w:hAnsi="Times New Roman"/>
          <w:sz w:val="24"/>
          <w:szCs w:val="24"/>
          <w:lang w:val="lv-LV"/>
        </w:rPr>
      </w:pPr>
      <w:r>
        <w:rPr>
          <w:rFonts w:ascii="Times New Roman" w:hAnsi="Times New Roman"/>
          <w:sz w:val="24"/>
          <w:szCs w:val="24"/>
          <w:lang w:val="lv-LV"/>
        </w:rPr>
        <w:t>17. Līdzēju adreses un norēķinu konti:</w:t>
      </w:r>
    </w:p>
    <w:p w14:paraId="7B248F3F" w14:textId="77777777" w:rsidR="001F56C2" w:rsidRDefault="001F56C2" w:rsidP="001F56C2">
      <w:pPr>
        <w:pStyle w:val="ListParagraph"/>
        <w:tabs>
          <w:tab w:val="left" w:pos="0"/>
        </w:tabs>
        <w:spacing w:after="0" w:line="240" w:lineRule="auto"/>
        <w:ind w:left="0" w:right="100"/>
        <w:jc w:val="center"/>
        <w:rPr>
          <w:rFonts w:ascii="Times New Roman" w:hAnsi="Times New Roman"/>
          <w:b/>
          <w:bCs/>
          <w:sz w:val="24"/>
          <w:szCs w:val="24"/>
          <w:lang w:val="lv-LV"/>
        </w:rPr>
      </w:pPr>
    </w:p>
    <w:tbl>
      <w:tblPr>
        <w:tblStyle w:val="TableGrid"/>
        <w:tblW w:w="9344" w:type="dxa"/>
        <w:tblLook w:val="04A0" w:firstRow="1" w:lastRow="0" w:firstColumn="1" w:lastColumn="0" w:noHBand="0" w:noVBand="1"/>
      </w:tblPr>
      <w:tblGrid>
        <w:gridCol w:w="4672"/>
        <w:gridCol w:w="4672"/>
      </w:tblGrid>
      <w:tr w:rsidR="001F56C2" w:rsidRPr="00AB67C3" w14:paraId="3BE26129" w14:textId="77777777" w:rsidTr="00960CAE">
        <w:tc>
          <w:tcPr>
            <w:tcW w:w="4672" w:type="dxa"/>
            <w:tcBorders>
              <w:top w:val="nil"/>
              <w:left w:val="nil"/>
              <w:bottom w:val="nil"/>
              <w:right w:val="nil"/>
            </w:tcBorders>
          </w:tcPr>
          <w:p w14:paraId="449865D0" w14:textId="77777777" w:rsidR="001F56C2" w:rsidRDefault="0047055A"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Rēzeknes Tehnoloģiju akadēmija</w:t>
            </w:r>
          </w:p>
        </w:tc>
        <w:tc>
          <w:tcPr>
            <w:tcW w:w="4672" w:type="dxa"/>
            <w:tcBorders>
              <w:top w:val="nil"/>
              <w:left w:val="nil"/>
              <w:bottom w:val="nil"/>
              <w:right w:val="nil"/>
            </w:tcBorders>
          </w:tcPr>
          <w:p w14:paraId="2586B534"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Fiziskas personas vārds/uzvārds vai juridiskas personas nosaukums</w:t>
            </w:r>
          </w:p>
        </w:tc>
      </w:tr>
      <w:tr w:rsidR="001F56C2" w14:paraId="350533E2" w14:textId="77777777" w:rsidTr="00960CAE">
        <w:tc>
          <w:tcPr>
            <w:tcW w:w="4672" w:type="dxa"/>
            <w:tcBorders>
              <w:top w:val="nil"/>
              <w:left w:val="nil"/>
              <w:bottom w:val="nil"/>
              <w:right w:val="nil"/>
            </w:tcBorders>
          </w:tcPr>
          <w:p w14:paraId="76B6307E"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Reģistrācijas Nr. 900000</w:t>
            </w:r>
            <w:r w:rsidR="0047055A">
              <w:rPr>
                <w:rFonts w:ascii="Times New Roman" w:hAnsi="Times New Roman"/>
                <w:sz w:val="24"/>
                <w:szCs w:val="24"/>
                <w:lang w:val="lv-LV"/>
              </w:rPr>
              <w:t>11588</w:t>
            </w:r>
          </w:p>
        </w:tc>
        <w:tc>
          <w:tcPr>
            <w:tcW w:w="4672" w:type="dxa"/>
            <w:tcBorders>
              <w:top w:val="nil"/>
              <w:left w:val="nil"/>
              <w:bottom w:val="nil"/>
              <w:right w:val="nil"/>
            </w:tcBorders>
          </w:tcPr>
          <w:p w14:paraId="466F405E"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sz w:val="24"/>
                <w:szCs w:val="24"/>
                <w:lang w:val="lv-LV"/>
              </w:rPr>
              <w:t>Personas kods/Reģistrācijas Nr.</w:t>
            </w:r>
          </w:p>
        </w:tc>
      </w:tr>
      <w:tr w:rsidR="001F56C2" w14:paraId="01CC1E17" w14:textId="77777777" w:rsidTr="00960CAE">
        <w:tc>
          <w:tcPr>
            <w:tcW w:w="4672" w:type="dxa"/>
            <w:tcBorders>
              <w:top w:val="nil"/>
              <w:left w:val="nil"/>
              <w:bottom w:val="nil"/>
              <w:right w:val="nil"/>
            </w:tcBorders>
          </w:tcPr>
          <w:p w14:paraId="23A447DC"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color w:val="1B1B1B"/>
                <w:sz w:val="24"/>
                <w:szCs w:val="24"/>
                <w:shd w:val="clear" w:color="auto" w:fill="FFFFFF"/>
                <w:lang w:val="lv-LV"/>
              </w:rPr>
              <w:t xml:space="preserve">IZM Izglītības iestāžu reģistra </w:t>
            </w:r>
            <w:r>
              <w:rPr>
                <w:rFonts w:ascii="Times New Roman" w:hAnsi="Times New Roman"/>
                <w:sz w:val="24"/>
                <w:szCs w:val="24"/>
                <w:lang w:val="lv-LV"/>
              </w:rPr>
              <w:t xml:space="preserve">reģistrācijas </w:t>
            </w:r>
            <w:r w:rsidRPr="0047055A">
              <w:rPr>
                <w:rFonts w:ascii="Times New Roman" w:hAnsi="Times New Roman"/>
                <w:sz w:val="24"/>
                <w:szCs w:val="24"/>
                <w:lang w:val="lv-LV"/>
              </w:rPr>
              <w:t xml:space="preserve">Nr. </w:t>
            </w:r>
            <w:r w:rsidR="0047055A" w:rsidRPr="0047055A">
              <w:rPr>
                <w:rFonts w:ascii="Times New Roman" w:hAnsi="Times New Roman"/>
                <w:color w:val="212529"/>
                <w:sz w:val="24"/>
                <w:szCs w:val="24"/>
                <w:shd w:val="clear" w:color="auto" w:fill="FFFFFF"/>
              </w:rPr>
              <w:t>3194001444</w:t>
            </w:r>
          </w:p>
        </w:tc>
        <w:tc>
          <w:tcPr>
            <w:tcW w:w="4672" w:type="dxa"/>
            <w:tcBorders>
              <w:top w:val="nil"/>
              <w:left w:val="nil"/>
              <w:bottom w:val="nil"/>
              <w:right w:val="nil"/>
            </w:tcBorders>
          </w:tcPr>
          <w:p w14:paraId="706585D5"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Nodokļa maksātāja reģistrācijas Nr.</w:t>
            </w:r>
          </w:p>
        </w:tc>
      </w:tr>
      <w:tr w:rsidR="001F56C2" w14:paraId="1AFA66FD" w14:textId="77777777" w:rsidTr="00960CAE">
        <w:tc>
          <w:tcPr>
            <w:tcW w:w="4672" w:type="dxa"/>
            <w:tcBorders>
              <w:top w:val="nil"/>
              <w:left w:val="nil"/>
              <w:bottom w:val="nil"/>
              <w:right w:val="nil"/>
            </w:tcBorders>
          </w:tcPr>
          <w:p w14:paraId="0EAB0671"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 xml:space="preserve">Adrese: </w:t>
            </w:r>
            <w:r w:rsidR="0047055A" w:rsidRPr="0047055A">
              <w:rPr>
                <w:rFonts w:ascii="Times New Roman" w:hAnsi="Times New Roman"/>
                <w:sz w:val="24"/>
                <w:szCs w:val="24"/>
                <w:lang w:val="lv-LV"/>
              </w:rPr>
              <w:t>Atbrīvošanas aleja 115, Rēzekne</w:t>
            </w:r>
          </w:p>
        </w:tc>
        <w:tc>
          <w:tcPr>
            <w:tcW w:w="4672" w:type="dxa"/>
            <w:tcBorders>
              <w:top w:val="nil"/>
              <w:left w:val="nil"/>
              <w:bottom w:val="nil"/>
              <w:right w:val="nil"/>
            </w:tcBorders>
          </w:tcPr>
          <w:p w14:paraId="5222C55D"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 xml:space="preserve">Deklarētas dzīvesvietas/Juridiskā adrese: </w:t>
            </w:r>
          </w:p>
        </w:tc>
      </w:tr>
      <w:tr w:rsidR="001F56C2" w14:paraId="45EDB22E" w14:textId="77777777" w:rsidTr="00960CAE">
        <w:tc>
          <w:tcPr>
            <w:tcW w:w="4672" w:type="dxa"/>
            <w:tcBorders>
              <w:top w:val="nil"/>
              <w:left w:val="nil"/>
              <w:bottom w:val="nil"/>
              <w:right w:val="nil"/>
            </w:tcBorders>
          </w:tcPr>
          <w:p w14:paraId="134DC876" w14:textId="77777777" w:rsidR="001F56C2" w:rsidRDefault="001F56C2" w:rsidP="00960CAE">
            <w:pPr>
              <w:rPr>
                <w:rFonts w:ascii="Times New Roman" w:hAnsi="Times New Roman"/>
                <w:sz w:val="24"/>
                <w:szCs w:val="24"/>
                <w:lang w:val="lv-LV"/>
              </w:rPr>
            </w:pPr>
            <w:r>
              <w:rPr>
                <w:rFonts w:ascii="Times New Roman" w:hAnsi="Times New Roman"/>
                <w:sz w:val="24"/>
                <w:szCs w:val="24"/>
                <w:lang w:val="lv-LV"/>
              </w:rPr>
              <w:t xml:space="preserve">Bankas nosaukums: Valsts kase </w:t>
            </w:r>
          </w:p>
        </w:tc>
        <w:tc>
          <w:tcPr>
            <w:tcW w:w="4672" w:type="dxa"/>
            <w:tcBorders>
              <w:top w:val="nil"/>
              <w:left w:val="nil"/>
              <w:bottom w:val="nil"/>
              <w:right w:val="nil"/>
            </w:tcBorders>
          </w:tcPr>
          <w:p w14:paraId="2A101476"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sz w:val="24"/>
                <w:szCs w:val="24"/>
                <w:lang w:val="lv-LV"/>
              </w:rPr>
              <w:t>Bankas nosaukums:</w:t>
            </w:r>
          </w:p>
        </w:tc>
      </w:tr>
      <w:tr w:rsidR="001F56C2" w14:paraId="2167BB5C" w14:textId="77777777" w:rsidTr="00960CAE">
        <w:tc>
          <w:tcPr>
            <w:tcW w:w="4672" w:type="dxa"/>
            <w:tcBorders>
              <w:top w:val="nil"/>
              <w:left w:val="nil"/>
              <w:bottom w:val="nil"/>
              <w:right w:val="nil"/>
            </w:tcBorders>
          </w:tcPr>
          <w:p w14:paraId="4AD97B35"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IBAN konts:</w:t>
            </w:r>
            <w:r w:rsidRPr="0047055A">
              <w:rPr>
                <w:rFonts w:ascii="Times New Roman" w:hAnsi="Times New Roman"/>
                <w:sz w:val="24"/>
                <w:szCs w:val="24"/>
                <w:lang w:val="lv-LV"/>
              </w:rPr>
              <w:t xml:space="preserve"> </w:t>
            </w:r>
            <w:r w:rsidR="0047055A" w:rsidRPr="0047055A">
              <w:rPr>
                <w:rFonts w:ascii="Times New Roman" w:hAnsi="Times New Roman"/>
                <w:color w:val="212529"/>
                <w:sz w:val="24"/>
                <w:szCs w:val="24"/>
                <w:shd w:val="clear" w:color="auto" w:fill="FFFFFF"/>
              </w:rPr>
              <w:t>LV90TREL9150160000000</w:t>
            </w:r>
          </w:p>
        </w:tc>
        <w:tc>
          <w:tcPr>
            <w:tcW w:w="4672" w:type="dxa"/>
            <w:tcBorders>
              <w:top w:val="nil"/>
              <w:left w:val="nil"/>
              <w:bottom w:val="nil"/>
              <w:right w:val="nil"/>
            </w:tcBorders>
          </w:tcPr>
          <w:p w14:paraId="14587AB2"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sz w:val="24"/>
                <w:szCs w:val="24"/>
                <w:lang w:val="lv-LV"/>
              </w:rPr>
              <w:t>IBAN konts:</w:t>
            </w:r>
          </w:p>
        </w:tc>
      </w:tr>
      <w:tr w:rsidR="001F56C2" w14:paraId="19B65F3F" w14:textId="77777777" w:rsidTr="00960CAE">
        <w:tc>
          <w:tcPr>
            <w:tcW w:w="4672" w:type="dxa"/>
            <w:tcBorders>
              <w:top w:val="nil"/>
              <w:left w:val="nil"/>
              <w:bottom w:val="nil"/>
              <w:right w:val="nil"/>
            </w:tcBorders>
          </w:tcPr>
          <w:p w14:paraId="238B70D8" w14:textId="77777777" w:rsidR="001F56C2" w:rsidRDefault="001F56C2" w:rsidP="00960CAE">
            <w:pPr>
              <w:pStyle w:val="ListParagraph"/>
              <w:tabs>
                <w:tab w:val="left" w:pos="0"/>
              </w:tabs>
              <w:ind w:left="0" w:right="100"/>
              <w:rPr>
                <w:rFonts w:ascii="Times New Roman" w:hAnsi="Times New Roman"/>
                <w:sz w:val="24"/>
                <w:szCs w:val="24"/>
                <w:lang w:val="lv-LV"/>
              </w:rPr>
            </w:pPr>
            <w:r>
              <w:rPr>
                <w:rFonts w:ascii="Times New Roman" w:hAnsi="Times New Roman"/>
                <w:sz w:val="24"/>
                <w:szCs w:val="24"/>
                <w:lang w:val="lv-LV"/>
              </w:rPr>
              <w:t>SWIFT kods: TRELLV22</w:t>
            </w:r>
          </w:p>
        </w:tc>
        <w:tc>
          <w:tcPr>
            <w:tcW w:w="4672" w:type="dxa"/>
            <w:tcBorders>
              <w:top w:val="nil"/>
              <w:left w:val="nil"/>
              <w:bottom w:val="nil"/>
              <w:right w:val="nil"/>
            </w:tcBorders>
          </w:tcPr>
          <w:p w14:paraId="3774DFB1"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sz w:val="24"/>
                <w:szCs w:val="24"/>
                <w:lang w:val="lv-LV"/>
              </w:rPr>
              <w:t>SWIFT kods:</w:t>
            </w:r>
          </w:p>
        </w:tc>
      </w:tr>
      <w:tr w:rsidR="001F56C2" w14:paraId="55550B2C" w14:textId="77777777" w:rsidTr="00960CAE">
        <w:tc>
          <w:tcPr>
            <w:tcW w:w="4672" w:type="dxa"/>
            <w:tcBorders>
              <w:top w:val="nil"/>
              <w:left w:val="nil"/>
              <w:bottom w:val="nil"/>
              <w:right w:val="nil"/>
            </w:tcBorders>
          </w:tcPr>
          <w:p w14:paraId="0470B47B" w14:textId="77777777" w:rsidR="001F56C2" w:rsidRDefault="001F56C2" w:rsidP="00960CAE">
            <w:pPr>
              <w:pStyle w:val="ListParagraph"/>
              <w:tabs>
                <w:tab w:val="left" w:pos="0"/>
              </w:tabs>
              <w:ind w:left="0" w:right="100"/>
              <w:rPr>
                <w:rFonts w:ascii="Times New Roman" w:hAnsi="Times New Roman"/>
                <w:b/>
                <w:bCs/>
                <w:sz w:val="24"/>
                <w:szCs w:val="24"/>
                <w:lang w:val="lv-LV"/>
              </w:rPr>
            </w:pPr>
          </w:p>
          <w:p w14:paraId="72C875D2"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__________________________</w:t>
            </w:r>
          </w:p>
          <w:p w14:paraId="0F5D00C3" w14:textId="77777777" w:rsidR="001F56C2" w:rsidRDefault="0047055A"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 xml:space="preserve">Iveta </w:t>
            </w:r>
            <w:proofErr w:type="spellStart"/>
            <w:r>
              <w:rPr>
                <w:rFonts w:ascii="Times New Roman" w:hAnsi="Times New Roman"/>
                <w:b/>
                <w:bCs/>
                <w:sz w:val="24"/>
                <w:szCs w:val="24"/>
                <w:lang w:val="lv-LV"/>
              </w:rPr>
              <w:t>Mietule</w:t>
            </w:r>
            <w:proofErr w:type="spellEnd"/>
          </w:p>
        </w:tc>
        <w:tc>
          <w:tcPr>
            <w:tcW w:w="4672" w:type="dxa"/>
            <w:tcBorders>
              <w:top w:val="nil"/>
              <w:left w:val="nil"/>
              <w:bottom w:val="nil"/>
              <w:right w:val="nil"/>
            </w:tcBorders>
          </w:tcPr>
          <w:p w14:paraId="7DF2FBE6" w14:textId="77777777" w:rsidR="001F56C2" w:rsidRDefault="001F56C2" w:rsidP="00960CAE">
            <w:pPr>
              <w:pStyle w:val="ListParagraph"/>
              <w:tabs>
                <w:tab w:val="left" w:pos="0"/>
              </w:tabs>
              <w:ind w:left="0" w:right="100"/>
              <w:rPr>
                <w:rFonts w:ascii="Times New Roman" w:hAnsi="Times New Roman"/>
                <w:b/>
                <w:bCs/>
                <w:sz w:val="24"/>
                <w:szCs w:val="24"/>
                <w:lang w:val="lv-LV"/>
              </w:rPr>
            </w:pPr>
          </w:p>
          <w:p w14:paraId="6DB69632"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__________________________</w:t>
            </w:r>
          </w:p>
          <w:p w14:paraId="10ACEEE2" w14:textId="77777777" w:rsidR="001F56C2" w:rsidRDefault="001F56C2" w:rsidP="00960CAE">
            <w:pPr>
              <w:pStyle w:val="ListParagraph"/>
              <w:tabs>
                <w:tab w:val="left" w:pos="0"/>
              </w:tabs>
              <w:ind w:left="0" w:right="100"/>
              <w:rPr>
                <w:rFonts w:ascii="Times New Roman" w:hAnsi="Times New Roman"/>
                <w:b/>
                <w:bCs/>
                <w:sz w:val="24"/>
                <w:szCs w:val="24"/>
                <w:lang w:val="lv-LV"/>
              </w:rPr>
            </w:pPr>
            <w:r>
              <w:rPr>
                <w:rFonts w:ascii="Times New Roman" w:hAnsi="Times New Roman"/>
                <w:b/>
                <w:bCs/>
                <w:sz w:val="24"/>
                <w:szCs w:val="24"/>
                <w:lang w:val="lv-LV"/>
              </w:rPr>
              <w:t>(vārds/uzvārds)</w:t>
            </w:r>
          </w:p>
        </w:tc>
      </w:tr>
    </w:tbl>
    <w:p w14:paraId="3A9A843B" w14:textId="77777777" w:rsidR="00071B5F" w:rsidRDefault="00071B5F"/>
    <w:sectPr w:rsidR="00071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C2"/>
    <w:rsid w:val="00071B5F"/>
    <w:rsid w:val="001F56C2"/>
    <w:rsid w:val="00275F5E"/>
    <w:rsid w:val="002C00CB"/>
    <w:rsid w:val="0047055A"/>
    <w:rsid w:val="004F2CD1"/>
    <w:rsid w:val="00AB6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A420"/>
  <w15:chartTrackingRefBased/>
  <w15:docId w15:val="{EC5F07D2-BFB8-47C1-B9E5-BC563FF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C2"/>
    <w:rPr>
      <w:rFonts w:ascii="Calibri" w:eastAsia="Calibri" w:hAnsi="Calibri" w:cs="Times New Roman"/>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56C2"/>
    <w:pPr>
      <w:ind w:left="720"/>
      <w:contextualSpacing/>
    </w:pPr>
  </w:style>
  <w:style w:type="table" w:styleId="TableGrid">
    <w:name w:val="Table Grid"/>
    <w:basedOn w:val="TableNormal"/>
    <w:uiPriority w:val="59"/>
    <w:rsid w:val="001F56C2"/>
    <w:pPr>
      <w:spacing w:after="0" w:line="240" w:lineRule="auto"/>
    </w:pPr>
    <w:rPr>
      <w:rFonts w:ascii="Calibri" w:eastAsia="Calibri" w:hAnsi="Calibri" w:cs="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Props1.xml><?xml version="1.0" encoding="utf-8"?>
<ds:datastoreItem xmlns:ds="http://schemas.openxmlformats.org/officeDocument/2006/customXml" ds:itemID="{839D07AD-84CE-47B4-8801-5102DDA7B3DD}">
  <ds:schemaRefs>
    <ds:schemaRef ds:uri="http://schemas.microsoft.com/sharepoint/v3/contenttype/forms"/>
  </ds:schemaRefs>
</ds:datastoreItem>
</file>

<file path=customXml/itemProps2.xml><?xml version="1.0" encoding="utf-8"?>
<ds:datastoreItem xmlns:ds="http://schemas.openxmlformats.org/officeDocument/2006/customXml" ds:itemID="{3FBA69E8-441B-417E-BEC5-7D3B089C4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A36CB-A01F-4C66-AE36-1BF14A920874}">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4d71a825-2617-4129-afbe-4d2abde5e487"/>
    <ds:schemaRef ds:uri="http://schemas.openxmlformats.org/package/2006/metadata/core-properties"/>
    <ds:schemaRef ds:uri="c57047a9-750e-4c7e-9af0-ccc89384fa8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3743</Words>
  <Characters>2134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Imants Plešners</cp:lastModifiedBy>
  <cp:revision>2</cp:revision>
  <dcterms:created xsi:type="dcterms:W3CDTF">2022-10-13T11:53:00Z</dcterms:created>
  <dcterms:modified xsi:type="dcterms:W3CDTF">2022-10-13T11:53:00Z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